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/>
    <w:p>
      <w:pPr>
        <w:jc w:val="center"/>
      </w:pPr>
      <w:r>
        <w:rPr>
          <w:b/>
          <w:color w:val="1E3A5F"/>
          <w:sz w:val="52"/>
        </w:rPr>
        <w:t>2026上半年 B2B跨境GEO基准观察报告</w:t>
      </w:r>
    </w:p>
    <w:p>
      <w:pPr>
        <w:jc w:val="center"/>
      </w:pPr>
      <w:r>
        <w:rPr>
          <w:color w:val="666666"/>
          <w:sz w:val="28"/>
        </w:rPr>
        <w:t>截至2026年6月底的AI可见性、引用可追溯性与成熟度框架</w:t>
      </w:r>
    </w:p>
    <w:p>
      <w:pPr>
        <w:jc w:val="center"/>
      </w:pPr>
      <w:r>
        <w:rPr>
          <w:color w:val="888888"/>
          <w:sz w:val="22"/>
        </w:rPr>
        <w:t>GEO · Compare2Best｜数据截至 2026年6月底｜发布日期 2026-06-30</w:t>
      </w:r>
    </w:p>
    <w:p>
      <w:r>
        <w:br w:type="page"/>
      </w:r>
    </w:p>
    <w:p>
      <w:pPr>
        <w:pStyle w:val="Heading1"/>
      </w:pPr>
      <w:r>
        <w:rPr>
          <w:color w:val="1E3A5F"/>
        </w:rPr>
        <w:t>目录</w:t>
      </w:r>
    </w:p>
    <w:p>
      <w:r>
        <w:t>1. 基准结论</w:t>
      </w:r>
    </w:p>
    <w:p>
      <w:r>
        <w:t>2. 分问题类别表现</w:t>
      </w:r>
    </w:p>
    <w:p>
      <w:r>
        <w:t>3. 成熟度分层</w:t>
      </w:r>
    </w:p>
    <w:p>
      <w:r>
        <w:br w:type="page"/>
      </w:r>
    </w:p>
    <w:p>
      <w:pPr>
        <w:pStyle w:val="Heading1"/>
      </w:pPr>
      <w:r>
        <w:rPr>
          <w:color w:val="1E3A5F"/>
        </w:rPr>
        <w:t>基准结论</w:t>
      </w:r>
    </w:p>
    <w:p>
      <w:r>
        <w:t>多数B2B企业仍处于“可被抓取，但未被稳定引用”的阶段。GEO成熟度需要同时衡量实体一致性、采购信息完整度、第三方信源和AI引用稳定性。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pPr>
              <w:jc w:val="center"/>
            </w:pPr>
            <w:r>
              <w:rPr>
                <w:b/>
                <w:sz w:val="19"/>
              </w:rPr>
              <w:t>指标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b/>
                <w:sz w:val="19"/>
              </w:rPr>
              <w:t>数值</w:t>
            </w:r>
          </w:p>
        </w:tc>
      </w:tr>
      <w:tr>
        <w:tc>
          <w:tcPr>
            <w:tcW w:type="dxa" w:w="4680"/>
          </w:tcPr>
          <w:p>
            <w:r>
              <w:rPr>
                <w:sz w:val="18"/>
              </w:rPr>
              <w:t>Active客户样本</w:t>
            </w:r>
          </w:p>
        </w:tc>
        <w:tc>
          <w:tcPr>
            <w:tcW w:type="dxa" w:w="4680"/>
          </w:tcPr>
          <w:p>
            <w:r>
              <w:rPr>
                <w:sz w:val="18"/>
              </w:rPr>
              <w:t>2</w:t>
            </w:r>
          </w:p>
        </w:tc>
      </w:tr>
      <w:tr>
        <w:tc>
          <w:tcPr>
            <w:tcW w:type="dxa" w:w="4680"/>
          </w:tcPr>
          <w:p>
            <w:r>
              <w:rPr>
                <w:sz w:val="18"/>
              </w:rPr>
              <w:t>启用监测问题</w:t>
            </w:r>
          </w:p>
        </w:tc>
        <w:tc>
          <w:tcPr>
            <w:tcW w:type="dxa" w:w="4680"/>
          </w:tcPr>
          <w:p>
            <w:r>
              <w:rPr>
                <w:sz w:val="18"/>
              </w:rPr>
              <w:t>875</w:t>
            </w:r>
          </w:p>
        </w:tc>
      </w:tr>
      <w:tr>
        <w:tc>
          <w:tcPr>
            <w:tcW w:type="dxa" w:w="4680"/>
          </w:tcPr>
          <w:p>
            <w:r>
              <w:rPr>
                <w:sz w:val="18"/>
              </w:rPr>
              <w:t>AI回答采样</w:t>
            </w:r>
          </w:p>
        </w:tc>
        <w:tc>
          <w:tcPr>
            <w:tcW w:type="dxa" w:w="4680"/>
          </w:tcPr>
          <w:p>
            <w:r>
              <w:rPr>
                <w:sz w:val="18"/>
              </w:rPr>
              <w:t>110</w:t>
            </w:r>
          </w:p>
        </w:tc>
      </w:tr>
      <w:tr>
        <w:tc>
          <w:tcPr>
            <w:tcW w:type="dxa" w:w="4680"/>
          </w:tcPr>
          <w:p>
            <w:r>
              <w:rPr>
                <w:sz w:val="18"/>
              </w:rPr>
              <w:t>品牌提及采样占比</w:t>
            </w:r>
          </w:p>
        </w:tc>
        <w:tc>
          <w:tcPr>
            <w:tcW w:type="dxa" w:w="4680"/>
          </w:tcPr>
          <w:p>
            <w:r>
              <w:rPr>
                <w:sz w:val="18"/>
              </w:rPr>
              <w:t>20.0%</w:t>
            </w:r>
          </w:p>
        </w:tc>
      </w:tr>
      <w:tr>
        <w:tc>
          <w:tcPr>
            <w:tcW w:type="dxa" w:w="4680"/>
          </w:tcPr>
          <w:p>
            <w:r>
              <w:rPr>
                <w:sz w:val="18"/>
              </w:rPr>
              <w:t>带引用采样占比</w:t>
            </w:r>
          </w:p>
        </w:tc>
        <w:tc>
          <w:tcPr>
            <w:tcW w:type="dxa" w:w="4680"/>
          </w:tcPr>
          <w:p>
            <w:r>
              <w:rPr>
                <w:sz w:val="18"/>
              </w:rPr>
              <w:t>14.5%</w:t>
            </w:r>
          </w:p>
        </w:tc>
      </w:tr>
    </w:tbl>
    <w:p/>
    <w:p>
      <w:r>
        <w:br w:type="page"/>
      </w:r>
    </w:p>
    <w:p>
      <w:pPr>
        <w:pStyle w:val="Heading1"/>
      </w:pPr>
      <w:r>
        <w:rPr>
          <w:color w:val="1E3A5F"/>
        </w:rPr>
        <w:t>分问题类别表现</w:t>
      </w:r>
    </w:p>
    <w:p>
      <w:r>
        <w:t>品牌监测类问题更容易触发提及和引用；更接近真实采购的技术、价格、安装和规格类问题仍然较难进入答案层。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1872"/>
        <w:gridCol w:w="1872"/>
        <w:gridCol w:w="1872"/>
        <w:gridCol w:w="1872"/>
        <w:gridCol w:w="1872"/>
      </w:tblGrid>
      <w:tr>
        <w:tc>
          <w:tcPr>
            <w:tcW w:type="dxa" w:w="1872"/>
          </w:tcPr>
          <w:p>
            <w:pPr>
              <w:jc w:val="center"/>
            </w:pPr>
            <w:r>
              <w:rPr>
                <w:b/>
                <w:sz w:val="19"/>
              </w:rPr>
              <w:t>问题类别</w:t>
            </w:r>
          </w:p>
        </w:tc>
        <w:tc>
          <w:tcPr>
            <w:tcW w:type="dxa" w:w="1872"/>
          </w:tcPr>
          <w:p>
            <w:pPr>
              <w:jc w:val="center"/>
            </w:pPr>
            <w:r>
              <w:rPr>
                <w:b/>
                <w:sz w:val="19"/>
              </w:rPr>
              <w:t>采样次数</w:t>
            </w:r>
          </w:p>
        </w:tc>
        <w:tc>
          <w:tcPr>
            <w:tcW w:type="dxa" w:w="1872"/>
          </w:tcPr>
          <w:p>
            <w:pPr>
              <w:jc w:val="center"/>
            </w:pPr>
            <w:r>
              <w:rPr>
                <w:b/>
                <w:sz w:val="19"/>
              </w:rPr>
              <w:t>提及采样</w:t>
            </w:r>
          </w:p>
        </w:tc>
        <w:tc>
          <w:tcPr>
            <w:tcW w:type="dxa" w:w="1872"/>
          </w:tcPr>
          <w:p>
            <w:pPr>
              <w:jc w:val="center"/>
            </w:pPr>
            <w:r>
              <w:rPr>
                <w:b/>
                <w:sz w:val="19"/>
              </w:rPr>
              <w:t>引用采样</w:t>
            </w:r>
          </w:p>
        </w:tc>
        <w:tc>
          <w:tcPr>
            <w:tcW w:type="dxa" w:w="1872"/>
          </w:tcPr>
          <w:p>
            <w:pPr>
              <w:jc w:val="center"/>
            </w:pPr>
            <w:r>
              <w:rPr>
                <w:b/>
                <w:sz w:val="19"/>
              </w:rPr>
              <w:t>引用采样率</w:t>
            </w:r>
          </w:p>
        </w:tc>
      </w:tr>
      <w:tr>
        <w:tc>
          <w:tcPr>
            <w:tcW w:type="dxa" w:w="1872"/>
          </w:tcPr>
          <w:p>
            <w:r>
              <w:rPr>
                <w:sz w:val="18"/>
              </w:rPr>
              <w:t>brand_monitoring</w:t>
            </w:r>
          </w:p>
        </w:tc>
        <w:tc>
          <w:tcPr>
            <w:tcW w:type="dxa" w:w="1872"/>
          </w:tcPr>
          <w:p>
            <w:r>
              <w:rPr>
                <w:sz w:val="18"/>
              </w:rPr>
              <w:t>66</w:t>
            </w:r>
          </w:p>
        </w:tc>
        <w:tc>
          <w:tcPr>
            <w:tcW w:type="dxa" w:w="1872"/>
          </w:tcPr>
          <w:p>
            <w:r>
              <w:rPr>
                <w:sz w:val="18"/>
              </w:rPr>
              <w:t>22</w:t>
            </w:r>
          </w:p>
        </w:tc>
        <w:tc>
          <w:tcPr>
            <w:tcW w:type="dxa" w:w="1872"/>
          </w:tcPr>
          <w:p>
            <w:r>
              <w:rPr>
                <w:sz w:val="18"/>
              </w:rPr>
              <w:t>16</w:t>
            </w:r>
          </w:p>
        </w:tc>
        <w:tc>
          <w:tcPr>
            <w:tcW w:type="dxa" w:w="1872"/>
          </w:tcPr>
          <w:p>
            <w:r>
              <w:rPr>
                <w:sz w:val="18"/>
              </w:rPr>
              <w:t>24.2%</w:t>
            </w:r>
          </w:p>
        </w:tc>
      </w:tr>
      <w:tr>
        <w:tc>
          <w:tcPr>
            <w:tcW w:type="dxa" w:w="1872"/>
          </w:tcPr>
          <w:p>
            <w:r>
              <w:rPr>
                <w:sz w:val="18"/>
              </w:rPr>
              <w:t>lighting_type</w:t>
            </w:r>
          </w:p>
        </w:tc>
        <w:tc>
          <w:tcPr>
            <w:tcW w:type="dxa" w:w="1872"/>
          </w:tcPr>
          <w:p>
            <w:r>
              <w:rPr>
                <w:sz w:val="18"/>
              </w:rPr>
              <w:t>14</w:t>
            </w:r>
          </w:p>
        </w:tc>
        <w:tc>
          <w:tcPr>
            <w:tcW w:type="dxa" w:w="1872"/>
          </w:tcPr>
          <w:p>
            <w:r>
              <w:rPr>
                <w:sz w:val="18"/>
              </w:rPr>
              <w:t>0</w:t>
            </w:r>
          </w:p>
        </w:tc>
        <w:tc>
          <w:tcPr>
            <w:tcW w:type="dxa" w:w="1872"/>
          </w:tcPr>
          <w:p>
            <w:r>
              <w:rPr>
                <w:sz w:val="18"/>
              </w:rPr>
              <w:t>0</w:t>
            </w:r>
          </w:p>
        </w:tc>
        <w:tc>
          <w:tcPr>
            <w:tcW w:type="dxa" w:w="1872"/>
          </w:tcPr>
          <w:p>
            <w:r>
              <w:rPr>
                <w:sz w:val="18"/>
              </w:rPr>
              <w:t>0.0%</w:t>
            </w:r>
          </w:p>
        </w:tc>
      </w:tr>
      <w:tr>
        <w:tc>
          <w:tcPr>
            <w:tcW w:type="dxa" w:w="1872"/>
          </w:tcPr>
          <w:p>
            <w:r>
              <w:rPr>
                <w:sz w:val="18"/>
              </w:rPr>
              <w:t>pricing</w:t>
            </w:r>
          </w:p>
        </w:tc>
        <w:tc>
          <w:tcPr>
            <w:tcW w:type="dxa" w:w="1872"/>
          </w:tcPr>
          <w:p>
            <w:r>
              <w:rPr>
                <w:sz w:val="18"/>
              </w:rPr>
              <w:t>10</w:t>
            </w:r>
          </w:p>
        </w:tc>
        <w:tc>
          <w:tcPr>
            <w:tcW w:type="dxa" w:w="1872"/>
          </w:tcPr>
          <w:p>
            <w:r>
              <w:rPr>
                <w:sz w:val="18"/>
              </w:rPr>
              <w:t>0</w:t>
            </w:r>
          </w:p>
        </w:tc>
        <w:tc>
          <w:tcPr>
            <w:tcW w:type="dxa" w:w="1872"/>
          </w:tcPr>
          <w:p>
            <w:r>
              <w:rPr>
                <w:sz w:val="18"/>
              </w:rPr>
              <w:t>0</w:t>
            </w:r>
          </w:p>
        </w:tc>
        <w:tc>
          <w:tcPr>
            <w:tcW w:type="dxa" w:w="1872"/>
          </w:tcPr>
          <w:p>
            <w:r>
              <w:rPr>
                <w:sz w:val="18"/>
              </w:rPr>
              <w:t>0.0%</w:t>
            </w:r>
          </w:p>
        </w:tc>
      </w:tr>
      <w:tr>
        <w:tc>
          <w:tcPr>
            <w:tcW w:type="dxa" w:w="1872"/>
          </w:tcPr>
          <w:p>
            <w:r>
              <w:rPr>
                <w:sz w:val="18"/>
              </w:rPr>
              <w:t>B2B Sourcing</w:t>
            </w:r>
          </w:p>
        </w:tc>
        <w:tc>
          <w:tcPr>
            <w:tcW w:type="dxa" w:w="1872"/>
          </w:tcPr>
          <w:p>
            <w:r>
              <w:rPr>
                <w:sz w:val="18"/>
              </w:rPr>
              <w:t>10</w:t>
            </w:r>
          </w:p>
        </w:tc>
        <w:tc>
          <w:tcPr>
            <w:tcW w:type="dxa" w:w="1872"/>
          </w:tcPr>
          <w:p>
            <w:r>
              <w:rPr>
                <w:sz w:val="18"/>
              </w:rPr>
              <w:t>0</w:t>
            </w:r>
          </w:p>
        </w:tc>
        <w:tc>
          <w:tcPr>
            <w:tcW w:type="dxa" w:w="1872"/>
          </w:tcPr>
          <w:p>
            <w:r>
              <w:rPr>
                <w:sz w:val="18"/>
              </w:rPr>
              <w:t>0</w:t>
            </w:r>
          </w:p>
        </w:tc>
        <w:tc>
          <w:tcPr>
            <w:tcW w:type="dxa" w:w="1872"/>
          </w:tcPr>
          <w:p>
            <w:r>
              <w:rPr>
                <w:sz w:val="18"/>
              </w:rPr>
              <w:t>0.0%</w:t>
            </w:r>
          </w:p>
        </w:tc>
      </w:tr>
      <w:tr>
        <w:tc>
          <w:tcPr>
            <w:tcW w:type="dxa" w:w="1872"/>
          </w:tcPr>
          <w:p>
            <w:r>
              <w:rPr>
                <w:sz w:val="18"/>
              </w:rPr>
              <w:t>installation</w:t>
            </w:r>
          </w:p>
        </w:tc>
        <w:tc>
          <w:tcPr>
            <w:tcW w:type="dxa" w:w="1872"/>
          </w:tcPr>
          <w:p>
            <w:r>
              <w:rPr>
                <w:sz w:val="18"/>
              </w:rPr>
              <w:t>6</w:t>
            </w:r>
          </w:p>
        </w:tc>
        <w:tc>
          <w:tcPr>
            <w:tcW w:type="dxa" w:w="1872"/>
          </w:tcPr>
          <w:p>
            <w:r>
              <w:rPr>
                <w:sz w:val="18"/>
              </w:rPr>
              <w:t>0</w:t>
            </w:r>
          </w:p>
        </w:tc>
        <w:tc>
          <w:tcPr>
            <w:tcW w:type="dxa" w:w="1872"/>
          </w:tcPr>
          <w:p>
            <w:r>
              <w:rPr>
                <w:sz w:val="18"/>
              </w:rPr>
              <w:t>0</w:t>
            </w:r>
          </w:p>
        </w:tc>
        <w:tc>
          <w:tcPr>
            <w:tcW w:type="dxa" w:w="1872"/>
          </w:tcPr>
          <w:p>
            <w:r>
              <w:rPr>
                <w:sz w:val="18"/>
              </w:rPr>
              <w:t>0.0%</w:t>
            </w:r>
          </w:p>
        </w:tc>
      </w:tr>
      <w:tr>
        <w:tc>
          <w:tcPr>
            <w:tcW w:type="dxa" w:w="1872"/>
          </w:tcPr>
          <w:p>
            <w:r>
              <w:rPr>
                <w:sz w:val="18"/>
              </w:rPr>
              <w:t>technical</w:t>
            </w:r>
          </w:p>
        </w:tc>
        <w:tc>
          <w:tcPr>
            <w:tcW w:type="dxa" w:w="1872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1872"/>
          </w:tcPr>
          <w:p>
            <w:r>
              <w:rPr>
                <w:sz w:val="18"/>
              </w:rPr>
              <w:t>0</w:t>
            </w:r>
          </w:p>
        </w:tc>
        <w:tc>
          <w:tcPr>
            <w:tcW w:type="dxa" w:w="1872"/>
          </w:tcPr>
          <w:p>
            <w:r>
              <w:rPr>
                <w:sz w:val="18"/>
              </w:rPr>
              <w:t>0</w:t>
            </w:r>
          </w:p>
        </w:tc>
        <w:tc>
          <w:tcPr>
            <w:tcW w:type="dxa" w:w="1872"/>
          </w:tcPr>
          <w:p>
            <w:r>
              <w:rPr>
                <w:sz w:val="18"/>
              </w:rPr>
              <w:t>0.0%</w:t>
            </w:r>
          </w:p>
        </w:tc>
      </w:tr>
    </w:tbl>
    <w:p/>
    <w:p>
      <w:r>
        <w:br w:type="page"/>
      </w:r>
    </w:p>
    <w:p>
      <w:pPr>
        <w:pStyle w:val="Heading1"/>
      </w:pPr>
      <w:r>
        <w:rPr>
          <w:color w:val="1E3A5F"/>
        </w:rPr>
        <w:t>成熟度分层</w:t>
      </w:r>
    </w:p>
    <w:p>
      <w:r>
        <w:t>建议用L0-L3四层模型推进：不可识别、可抓取、可引用、可推荐。每一层对应不同的内容和技术任务。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</w:tcPr>
          <w:p>
            <w:pPr>
              <w:jc w:val="center"/>
            </w:pPr>
            <w:r>
              <w:rPr>
                <w:b/>
                <w:sz w:val="19"/>
              </w:rPr>
              <w:t>成熟度阶段</w:t>
            </w:r>
          </w:p>
        </w:tc>
        <w:tc>
          <w:tcPr>
            <w:tcW w:type="dxa" w:w="3120"/>
          </w:tcPr>
          <w:p>
            <w:pPr>
              <w:jc w:val="center"/>
            </w:pPr>
            <w:r>
              <w:rPr>
                <w:b/>
                <w:sz w:val="19"/>
              </w:rPr>
              <w:t>典型表现</w:t>
            </w:r>
          </w:p>
        </w:tc>
        <w:tc>
          <w:tcPr>
            <w:tcW w:type="dxa" w:w="3120"/>
          </w:tcPr>
          <w:p>
            <w:pPr>
              <w:jc w:val="center"/>
            </w:pPr>
            <w:r>
              <w:rPr>
                <w:b/>
                <w:sz w:val="19"/>
              </w:rPr>
              <w:t>优先动作</w:t>
            </w:r>
          </w:p>
        </w:tc>
      </w:tr>
      <w:tr>
        <w:tc>
          <w:tcPr>
            <w:tcW w:type="dxa" w:w="3120"/>
          </w:tcPr>
          <w:p>
            <w:r>
              <w:rPr>
                <w:sz w:val="18"/>
              </w:rPr>
              <w:t>L0 不可识别</w:t>
            </w:r>
          </w:p>
        </w:tc>
        <w:tc>
          <w:tcPr>
            <w:tcW w:type="dxa" w:w="3120"/>
          </w:tcPr>
          <w:p>
            <w:r>
              <w:rPr>
                <w:sz w:val="18"/>
              </w:rPr>
              <w:t>实体信息不一致</w:t>
            </w:r>
          </w:p>
        </w:tc>
        <w:tc>
          <w:tcPr>
            <w:tcW w:type="dxa" w:w="3120"/>
          </w:tcPr>
          <w:p>
            <w:r>
              <w:rPr>
                <w:sz w:val="18"/>
              </w:rPr>
              <w:t>统一企业信息</w:t>
            </w:r>
          </w:p>
        </w:tc>
      </w:tr>
      <w:tr>
        <w:tc>
          <w:tcPr>
            <w:tcW w:type="dxa" w:w="3120"/>
          </w:tcPr>
          <w:p>
            <w:r>
              <w:rPr>
                <w:sz w:val="18"/>
              </w:rPr>
              <w:t>L1 可抓取</w:t>
            </w:r>
          </w:p>
        </w:tc>
        <w:tc>
          <w:tcPr>
            <w:tcW w:type="dxa" w:w="3120"/>
          </w:tcPr>
          <w:p>
            <w:r>
              <w:rPr>
                <w:sz w:val="18"/>
              </w:rPr>
              <w:t>页面可访问但缺少结构化信息</w:t>
            </w:r>
          </w:p>
        </w:tc>
        <w:tc>
          <w:tcPr>
            <w:tcW w:type="dxa" w:w="3120"/>
          </w:tcPr>
          <w:p>
            <w:r>
              <w:rPr>
                <w:sz w:val="18"/>
              </w:rPr>
              <w:t>部署Schema与FAQ</w:t>
            </w:r>
          </w:p>
        </w:tc>
      </w:tr>
      <w:tr>
        <w:tc>
          <w:tcPr>
            <w:tcW w:type="dxa" w:w="3120"/>
          </w:tcPr>
          <w:p>
            <w:r>
              <w:rPr>
                <w:sz w:val="18"/>
              </w:rPr>
              <w:t>L2 可引用</w:t>
            </w:r>
          </w:p>
        </w:tc>
        <w:tc>
          <w:tcPr>
            <w:tcW w:type="dxa" w:w="3120"/>
          </w:tcPr>
          <w:p>
            <w:r>
              <w:rPr>
                <w:sz w:val="18"/>
              </w:rPr>
              <w:t>部分页面进入AI引用</w:t>
            </w:r>
          </w:p>
        </w:tc>
        <w:tc>
          <w:tcPr>
            <w:tcW w:type="dxa" w:w="3120"/>
          </w:tcPr>
          <w:p>
            <w:r>
              <w:rPr>
                <w:sz w:val="18"/>
              </w:rPr>
              <w:t>建设采购指南与认证页</w:t>
            </w:r>
          </w:p>
        </w:tc>
      </w:tr>
      <w:tr>
        <w:tc>
          <w:tcPr>
            <w:tcW w:type="dxa" w:w="3120"/>
          </w:tcPr>
          <w:p>
            <w:r>
              <w:rPr>
                <w:sz w:val="18"/>
              </w:rPr>
              <w:t>L3 可推荐</w:t>
            </w:r>
          </w:p>
        </w:tc>
        <w:tc>
          <w:tcPr>
            <w:tcW w:type="dxa" w:w="3120"/>
          </w:tcPr>
          <w:p>
            <w:r>
              <w:rPr>
                <w:sz w:val="18"/>
              </w:rPr>
              <w:t>AI主动推荐品牌</w:t>
            </w:r>
          </w:p>
        </w:tc>
        <w:tc>
          <w:tcPr>
            <w:tcW w:type="dxa" w:w="3120"/>
          </w:tcPr>
          <w:p>
            <w:r>
              <w:rPr>
                <w:sz w:val="18"/>
              </w:rPr>
              <w:t>扩展第三方信源并持续监测</w:t>
            </w:r>
          </w:p>
        </w:tc>
      </w:tr>
    </w:tbl>
    <w:p/>
    <w:p>
      <w:r>
        <w:br w:type="page"/>
      </w:r>
    </w:p>
    <w:p>
      <w:pPr>
        <w:pStyle w:val="Heading1"/>
      </w:pPr>
      <w:r>
        <w:rPr>
          <w:color w:val="1E3A5F"/>
        </w:rPr>
        <w:t>附录：数据边界与引用说明</w:t>
      </w:r>
    </w:p>
    <w:p>
      <w:r>
        <w:t>本报告基于 GEO · Compare2Best 自有监测系统中 active 样本生成。数据用于趋势观察、方法论沉淀和B2B GEO项目复盘，不代表全球市场总体。</w:t>
      </w:r>
    </w:p>
    <w:p>
      <w:r>
        <w:t>引用建议：GEO · Compare2Best 数据与报告中心，《2026上半年 B2B跨境GEO基准观察报告》，2026-06-30。</w:t>
      </w:r>
    </w:p>
    <w:sectPr w:rsidR="00FC693F" w:rsidRPr="0006063C" w:rsidSect="00034616">
      <w:pgSz w:w="12240" w:h="15840"/>
      <w:pgMar w:top="1361" w:right="1440" w:bottom="136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120"/>
    </w:pPr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